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国家能源局规章和</w:t>
      </w:r>
      <w:r>
        <w:rPr>
          <w:rFonts w:ascii="仿宋" w:hAnsi="仿宋" w:eastAsia="仿宋" w:cs="Times New Roman"/>
          <w:b/>
          <w:sz w:val="44"/>
          <w:szCs w:val="44"/>
        </w:rPr>
        <w:t>规范性文件设定的证明事项拟保留清单</w:t>
      </w:r>
    </w:p>
    <w:tbl>
      <w:tblPr>
        <w:tblStyle w:val="5"/>
        <w:tblW w:w="1388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97"/>
        <w:gridCol w:w="1275"/>
        <w:gridCol w:w="3969"/>
        <w:gridCol w:w="709"/>
        <w:gridCol w:w="851"/>
        <w:gridCol w:w="850"/>
        <w:gridCol w:w="567"/>
        <w:gridCol w:w="567"/>
        <w:gridCol w:w="567"/>
        <w:gridCol w:w="567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证明名称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证明用途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实施基本情况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行使层级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保留理由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依据名称、文号及条文内容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效力层级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索要单位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开具单位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乡级及其他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专业技术资格证或岗位培训合格证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申请电力业务许可证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《电力业务许可证管理规定》第十一条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（三）生产运行负责人、技术负责人、安全负责人和财务负责人具有3年以上与申请从事的电力业务相适应的工作经历，具有中级以上专业技术任职资格或者岗位培训合格证书。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部门规章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能源局派出机构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申请人自行提供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专业技术资格证或岗位培训合格证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社会普遍认可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具有电力项目建设、运营所需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专业水平的有关材料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可自行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不具备共享查询条件。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专业技术任职资格证书、任职培训合格证书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申请承装（修、试）电力设施许可证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《承装（修、试）电力设施许可证管理办法》第十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申请许可证应当提交下列材料：（四）技术负责人、安全负责人的简历、专业技术任职资格证书等证明材料；（五）专业技术人员明细表、专业技术任职资格证书或者任职培训合格证书等证明材料。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部门规章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能源局派出机构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申请人自行提供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专业技术任职资格证书、任职培训合格证书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社会普遍认可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承装（修、试）电力设施活动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专业水平的有关材料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可自行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不具备共享查询条件。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注册建造师证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申请承装（修、试）电力设施许可证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国家能源局关于印发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承装（修、试）电力设施许可证申请条件的通知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规范性文件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能源局派出机构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申请人自行提供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承装（修、试）电力设施活动中项目负责人需持有电力相关专业注册建造师证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可从事相关活动。申请人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可自行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不具备共享查询条件。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特种作业操作证（电工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申请承装（修、试）电力设施许可证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《承装（修、试）电力设施许可证管理办法》第十条 申请许可证应当提交下列材料：（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电工作业人员登记表。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2.国家能源局关于印发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承装（修、试）电力设施许可证申请条件的通知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部门规章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、规范性文件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能源局派出机构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申请人自行提供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特种作业操作证（电工）是进网作业电工经过安全、专业技术培训并考核合格的唯一证明材料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可自行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不具备共享查询条件。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82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623"/>
    <w:rsid w:val="00021AF3"/>
    <w:rsid w:val="00035C46"/>
    <w:rsid w:val="00075CD2"/>
    <w:rsid w:val="00090E42"/>
    <w:rsid w:val="000A706A"/>
    <w:rsid w:val="000B309C"/>
    <w:rsid w:val="000B73B5"/>
    <w:rsid w:val="000D4A64"/>
    <w:rsid w:val="00112480"/>
    <w:rsid w:val="0011266B"/>
    <w:rsid w:val="00141A90"/>
    <w:rsid w:val="00142D1D"/>
    <w:rsid w:val="00146FD5"/>
    <w:rsid w:val="0014745F"/>
    <w:rsid w:val="0018741E"/>
    <w:rsid w:val="00194CEA"/>
    <w:rsid w:val="00241982"/>
    <w:rsid w:val="00292E7B"/>
    <w:rsid w:val="002A4065"/>
    <w:rsid w:val="002C557E"/>
    <w:rsid w:val="002C5BA7"/>
    <w:rsid w:val="002D1A02"/>
    <w:rsid w:val="002E76C4"/>
    <w:rsid w:val="0031570C"/>
    <w:rsid w:val="003422A8"/>
    <w:rsid w:val="00343C08"/>
    <w:rsid w:val="00350643"/>
    <w:rsid w:val="003A1418"/>
    <w:rsid w:val="003C7EDA"/>
    <w:rsid w:val="00435C8E"/>
    <w:rsid w:val="00456A29"/>
    <w:rsid w:val="004A71AC"/>
    <w:rsid w:val="004C45F6"/>
    <w:rsid w:val="004E1D78"/>
    <w:rsid w:val="004E7623"/>
    <w:rsid w:val="00501625"/>
    <w:rsid w:val="00503CC8"/>
    <w:rsid w:val="0051167F"/>
    <w:rsid w:val="00521090"/>
    <w:rsid w:val="005257C9"/>
    <w:rsid w:val="005274AB"/>
    <w:rsid w:val="00537B7A"/>
    <w:rsid w:val="005E4A42"/>
    <w:rsid w:val="005F2746"/>
    <w:rsid w:val="00601ED0"/>
    <w:rsid w:val="00644E21"/>
    <w:rsid w:val="00677511"/>
    <w:rsid w:val="006804C0"/>
    <w:rsid w:val="006902D5"/>
    <w:rsid w:val="006D73B3"/>
    <w:rsid w:val="007A6C03"/>
    <w:rsid w:val="007C087A"/>
    <w:rsid w:val="007C3B54"/>
    <w:rsid w:val="007C5445"/>
    <w:rsid w:val="007F2E78"/>
    <w:rsid w:val="00824B84"/>
    <w:rsid w:val="008360BC"/>
    <w:rsid w:val="00870EB8"/>
    <w:rsid w:val="0089212A"/>
    <w:rsid w:val="008C29E9"/>
    <w:rsid w:val="00901760"/>
    <w:rsid w:val="00901AE1"/>
    <w:rsid w:val="00905DAB"/>
    <w:rsid w:val="00914165"/>
    <w:rsid w:val="0092404D"/>
    <w:rsid w:val="009414CF"/>
    <w:rsid w:val="009614E9"/>
    <w:rsid w:val="009E1B37"/>
    <w:rsid w:val="009F243B"/>
    <w:rsid w:val="00A24C41"/>
    <w:rsid w:val="00A3517D"/>
    <w:rsid w:val="00A53CCD"/>
    <w:rsid w:val="00A87BDD"/>
    <w:rsid w:val="00AC4E67"/>
    <w:rsid w:val="00AE0C3F"/>
    <w:rsid w:val="00AF4784"/>
    <w:rsid w:val="00AF6E99"/>
    <w:rsid w:val="00B25B99"/>
    <w:rsid w:val="00B26465"/>
    <w:rsid w:val="00B278C6"/>
    <w:rsid w:val="00B4352E"/>
    <w:rsid w:val="00B43E90"/>
    <w:rsid w:val="00BE56D8"/>
    <w:rsid w:val="00C03F5F"/>
    <w:rsid w:val="00C123C8"/>
    <w:rsid w:val="00C457BE"/>
    <w:rsid w:val="00C86221"/>
    <w:rsid w:val="00CA708B"/>
    <w:rsid w:val="00CB345A"/>
    <w:rsid w:val="00CC7CE9"/>
    <w:rsid w:val="00CE6AE7"/>
    <w:rsid w:val="00D00DB1"/>
    <w:rsid w:val="00D05175"/>
    <w:rsid w:val="00D74C1A"/>
    <w:rsid w:val="00D80B80"/>
    <w:rsid w:val="00E51817"/>
    <w:rsid w:val="00E54227"/>
    <w:rsid w:val="00E8176D"/>
    <w:rsid w:val="00E858D9"/>
    <w:rsid w:val="00EB0128"/>
    <w:rsid w:val="00EC19CE"/>
    <w:rsid w:val="00ED3353"/>
    <w:rsid w:val="00ED5AAB"/>
    <w:rsid w:val="00EF047F"/>
    <w:rsid w:val="00EF3109"/>
    <w:rsid w:val="00F02AB8"/>
    <w:rsid w:val="00F23383"/>
    <w:rsid w:val="00F43195"/>
    <w:rsid w:val="00F61CF2"/>
    <w:rsid w:val="00F931CB"/>
    <w:rsid w:val="00F93933"/>
    <w:rsid w:val="00FB13A3"/>
    <w:rsid w:val="00FB4BAE"/>
    <w:rsid w:val="00FE2BC5"/>
    <w:rsid w:val="0CF81DB0"/>
    <w:rsid w:val="0D50256A"/>
    <w:rsid w:val="120F2716"/>
    <w:rsid w:val="188D4481"/>
    <w:rsid w:val="19440C92"/>
    <w:rsid w:val="1DFC02BE"/>
    <w:rsid w:val="202350F5"/>
    <w:rsid w:val="385A78EA"/>
    <w:rsid w:val="3FCF6F63"/>
    <w:rsid w:val="448D2F56"/>
    <w:rsid w:val="4D0A5E33"/>
    <w:rsid w:val="54A67D3F"/>
    <w:rsid w:val="55F60290"/>
    <w:rsid w:val="59FB6C7B"/>
    <w:rsid w:val="5CF872A8"/>
    <w:rsid w:val="5F9A5052"/>
    <w:rsid w:val="60386323"/>
    <w:rsid w:val="61B47CD0"/>
    <w:rsid w:val="657D2DA6"/>
    <w:rsid w:val="68C77201"/>
    <w:rsid w:val="6B2D687E"/>
    <w:rsid w:val="6BAA786B"/>
    <w:rsid w:val="78A14B1D"/>
    <w:rsid w:val="7C4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2019-07-08T01:29:00Z</dcterms:created>
  <dc:creator>cjr</dc:creator>
  <cp:lastModifiedBy>Administrator</cp:lastModifiedBy>
  <cp:lastPrinted>2019-08-05T06:36:50Z</cp:lastPrinted>
  <dcterms:modified xsi:type="dcterms:W3CDTF">2019-08-05T06:48:46Z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